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Autospacing="1" w:afterAutospacing="1"/>
        <w:ind w:left="708" w:firstLine="708"/>
        <w:jc w:val="both"/>
        <w:rPr>
          <w:rFonts w:ascii="Times New Roman" w:hAnsi="Times New Roman" w:eastAsia="Times New Roman" w:cs="Times New Roman"/>
          <w:b/>
          <w:b/>
          <w:bCs/>
          <w:color w:val="222A35" w:themeColor="text2" w:themeShade="80"/>
          <w:sz w:val="36"/>
          <w:szCs w:val="36"/>
          <w:lang w:eastAsia="ca-ES"/>
        </w:rPr>
      </w:pPr>
      <w:r>
        <w:rPr>
          <w:rFonts w:eastAsia="Times New Roman" w:cs="Times New Roman" w:ascii="Times New Roman" w:hAnsi="Times New Roman"/>
          <w:b/>
          <w:bCs/>
          <w:color w:val="222A35" w:themeColor="text2" w:themeShade="80"/>
          <w:sz w:val="36"/>
          <w:szCs w:val="36"/>
          <w:lang w:eastAsia="ca-ES"/>
        </w:rPr>
        <w:t>CONTRACTE DE REPRESENTACIÓ</w:t>
      </w:r>
    </w:p>
    <w:p>
      <w:pPr>
        <w:pStyle w:val="Normal"/>
        <w:spacing w:lineRule="auto" w:line="360" w:beforeAutospacing="1" w:afterAutospacing="1"/>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br/>
      </w:r>
    </w:p>
    <w:p>
      <w:pPr>
        <w:pStyle w:val="Normal"/>
        <w:spacing w:lineRule="auto" w:line="360" w:beforeAutospacing="1" w:afterAutospacing="1"/>
        <w:jc w:val="both"/>
        <w:rPr>
          <w:rFonts w:ascii="Times New Roman" w:hAnsi="Times New Roman" w:eastAsia="Times New Roman" w:cs="Times New Roman"/>
          <w:sz w:val="24"/>
          <w:szCs w:val="24"/>
          <w:lang w:eastAsia="ca-ES"/>
        </w:rPr>
      </w:pPr>
      <w:r>
        <w:rPr>
          <w:rFonts w:eastAsia="Times New Roman" w:cs="Times New Roman" w:ascii="Times New Roman" w:hAnsi="Times New Roman"/>
          <w:b/>
          <w:sz w:val="24"/>
          <w:szCs w:val="24"/>
          <w:u w:val="single"/>
          <w:lang w:eastAsia="ca-ES"/>
        </w:rPr>
        <w:t>PRIMERA</w:t>
      </w:r>
      <w:r>
        <w:rPr>
          <w:rFonts w:eastAsia="Times New Roman" w:cs="Times New Roman" w:ascii="Times New Roman" w:hAnsi="Times New Roman"/>
          <w:sz w:val="24"/>
          <w:szCs w:val="24"/>
          <w:lang w:eastAsia="ca-ES"/>
        </w:rPr>
        <w:t>.- L’Autor/a cedeix a Editorial Buendía els Drets de reproducció, distribució i venda en forma de llibre, tant en suport paper, com en format digital i audiollibre, de la seva obra anomenada                                         per a la seva comercialització comercial en tot el món i en tots aquells idiomes que sigui traduïts.</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b/>
          <w:sz w:val="24"/>
          <w:szCs w:val="24"/>
          <w:u w:val="single"/>
          <w:lang w:eastAsia="ca-ES"/>
        </w:rPr>
        <w:br/>
        <w:t>SEGONA</w:t>
      </w:r>
      <w:r>
        <w:rPr>
          <w:rFonts w:eastAsia="Times New Roman" w:cs="Times New Roman" w:ascii="Times New Roman" w:hAnsi="Times New Roman"/>
          <w:sz w:val="24"/>
          <w:szCs w:val="24"/>
          <w:lang w:eastAsia="ca-ES"/>
        </w:rPr>
        <w:t>.- La cessió es fa amb caràcter exclusiu i mitjançant la signatura d’aquest contracte es certifica que els Drets d’autor/a no estan compromesos amb cap altre editorial. Els sistemes de comercialització podran comprendre les següents modalitats:</w:t>
        <w:br/>
        <w:br/>
        <w:t xml:space="preserve">     </w:t>
        <w:tab/>
      </w:r>
      <w:r>
        <w:rPr>
          <w:rFonts w:eastAsia="Times New Roman" w:cs="Times New Roman" w:ascii="Times New Roman" w:hAnsi="Times New Roman"/>
          <w:b/>
          <w:sz w:val="24"/>
          <w:szCs w:val="24"/>
          <w:lang w:eastAsia="ca-ES"/>
        </w:rPr>
        <w:t>a)</w:t>
      </w:r>
      <w:r>
        <w:rPr>
          <w:rFonts w:eastAsia="Times New Roman" w:cs="Times New Roman" w:ascii="Times New Roman" w:hAnsi="Times New Roman"/>
          <w:sz w:val="24"/>
          <w:szCs w:val="24"/>
          <w:lang w:eastAsia="ca-ES"/>
        </w:rPr>
        <w:t xml:space="preserve"> tapa dura</w:t>
      </w:r>
    </w:p>
    <w:p>
      <w:pPr>
        <w:pStyle w:val="Normal"/>
        <w:spacing w:lineRule="auto" w:line="360" w:before="0" w:after="0"/>
        <w:ind w:left="708" w:hanging="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br/>
      </w:r>
      <w:r>
        <w:rPr>
          <w:rFonts w:eastAsia="Times New Roman" w:cs="Times New Roman" w:ascii="Times New Roman" w:hAnsi="Times New Roman"/>
          <w:b/>
          <w:sz w:val="24"/>
          <w:szCs w:val="24"/>
          <w:lang w:eastAsia="ca-ES"/>
        </w:rPr>
        <w:t>b)</w:t>
      </w:r>
      <w:r>
        <w:rPr>
          <w:rFonts w:eastAsia="Times New Roman" w:cs="Times New Roman" w:ascii="Times New Roman" w:hAnsi="Times New Roman"/>
          <w:sz w:val="24"/>
          <w:szCs w:val="24"/>
          <w:lang w:eastAsia="ca-ES"/>
        </w:rPr>
        <w:t xml:space="preserve"> tapa blanda </w:t>
      </w:r>
    </w:p>
    <w:p>
      <w:pPr>
        <w:pStyle w:val="Normal"/>
        <w:spacing w:lineRule="auto" w:line="360" w:before="0" w:after="0"/>
        <w:ind w:left="708" w:hanging="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br/>
      </w:r>
      <w:r>
        <w:rPr>
          <w:rFonts w:eastAsia="Times New Roman" w:cs="Times New Roman" w:ascii="Times New Roman" w:hAnsi="Times New Roman"/>
          <w:b/>
          <w:sz w:val="24"/>
          <w:szCs w:val="24"/>
          <w:lang w:eastAsia="ca-ES"/>
        </w:rPr>
        <w:t>c)</w:t>
      </w:r>
      <w:r>
        <w:rPr>
          <w:rFonts w:eastAsia="Times New Roman" w:cs="Times New Roman" w:ascii="Times New Roman" w:hAnsi="Times New Roman"/>
          <w:sz w:val="24"/>
          <w:szCs w:val="24"/>
          <w:lang w:eastAsia="ca-ES"/>
        </w:rPr>
        <w:t xml:space="preserve"> tapa rústica</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p>
      <w:pPr>
        <w:pStyle w:val="Normal"/>
        <w:spacing w:lineRule="auto" w:line="360" w:before="0" w:after="0"/>
        <w:ind w:firstLine="708"/>
        <w:jc w:val="both"/>
        <w:rPr>
          <w:rFonts w:ascii="Times New Roman" w:hAnsi="Times New Roman" w:eastAsia="Times New Roman" w:cs="Times New Roman"/>
          <w:sz w:val="24"/>
          <w:szCs w:val="24"/>
          <w:lang w:eastAsia="ca-ES"/>
        </w:rPr>
      </w:pPr>
      <w:r>
        <w:rPr>
          <w:rFonts w:eastAsia="Times New Roman" w:cs="Times New Roman" w:ascii="Times New Roman" w:hAnsi="Times New Roman"/>
          <w:b/>
          <w:sz w:val="24"/>
          <w:szCs w:val="24"/>
          <w:lang w:eastAsia="ca-ES"/>
        </w:rPr>
        <w:t>d)</w:t>
      </w:r>
      <w:r>
        <w:rPr>
          <w:rFonts w:eastAsia="Times New Roman" w:cs="Times New Roman" w:ascii="Times New Roman" w:hAnsi="Times New Roman"/>
          <w:sz w:val="24"/>
          <w:szCs w:val="24"/>
          <w:lang w:eastAsia="ca-ES"/>
        </w:rPr>
        <w:t xml:space="preserve"> edicions de butxaca</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p>
      <w:pPr>
        <w:pStyle w:val="Normal"/>
        <w:spacing w:lineRule="auto" w:line="360" w:before="0" w:after="0"/>
        <w:ind w:firstLine="708"/>
        <w:jc w:val="both"/>
        <w:rPr>
          <w:rFonts w:ascii="Times New Roman" w:hAnsi="Times New Roman" w:eastAsia="Times New Roman" w:cs="Times New Roman"/>
          <w:sz w:val="24"/>
          <w:szCs w:val="24"/>
          <w:lang w:eastAsia="ca-ES"/>
        </w:rPr>
      </w:pPr>
      <w:r>
        <w:rPr>
          <w:rFonts w:eastAsia="Times New Roman" w:cs="Times New Roman" w:ascii="Times New Roman" w:hAnsi="Times New Roman"/>
          <w:b/>
          <w:sz w:val="24"/>
          <w:szCs w:val="24"/>
          <w:lang w:eastAsia="ca-ES"/>
        </w:rPr>
        <w:t>e)</w:t>
      </w:r>
      <w:r>
        <w:rPr>
          <w:rFonts w:eastAsia="Times New Roman" w:cs="Times New Roman" w:ascii="Times New Roman" w:hAnsi="Times New Roman"/>
          <w:sz w:val="24"/>
          <w:szCs w:val="24"/>
          <w:lang w:eastAsia="ca-ES"/>
        </w:rPr>
        <w:t xml:space="preserve"> llibre electrònic</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p>
      <w:pPr>
        <w:pStyle w:val="Normal"/>
        <w:spacing w:lineRule="auto" w:line="360" w:before="0" w:after="0"/>
        <w:ind w:firstLine="708"/>
        <w:jc w:val="both"/>
        <w:rPr>
          <w:rFonts w:ascii="Times New Roman" w:hAnsi="Times New Roman" w:eastAsia="Times New Roman" w:cs="Times New Roman"/>
          <w:sz w:val="24"/>
          <w:szCs w:val="24"/>
          <w:lang w:eastAsia="ca-ES"/>
        </w:rPr>
      </w:pPr>
      <w:r>
        <w:rPr>
          <w:rFonts w:eastAsia="Times New Roman" w:cs="Times New Roman" w:ascii="Times New Roman" w:hAnsi="Times New Roman"/>
          <w:b/>
          <w:sz w:val="24"/>
          <w:szCs w:val="24"/>
          <w:lang w:eastAsia="ca-ES"/>
        </w:rPr>
        <w:t>f)</w:t>
      </w:r>
      <w:r>
        <w:rPr>
          <w:rFonts w:eastAsia="Times New Roman" w:cs="Times New Roman" w:ascii="Times New Roman" w:hAnsi="Times New Roman"/>
          <w:sz w:val="24"/>
          <w:szCs w:val="24"/>
          <w:lang w:eastAsia="ca-ES"/>
        </w:rPr>
        <w:t xml:space="preserve"> audiollibre</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t>Editorial Buendía es reserva el Dret de negociar amb altres Editorials la publicació en altres modalitats (amb el consentiment de l’autor/a).</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br/>
      </w:r>
      <w:r>
        <w:rPr>
          <w:rFonts w:eastAsia="Times New Roman" w:cs="Times New Roman" w:ascii="Times New Roman" w:hAnsi="Times New Roman"/>
          <w:b/>
          <w:sz w:val="24"/>
          <w:szCs w:val="24"/>
          <w:u w:val="single"/>
          <w:lang w:eastAsia="ca-ES"/>
        </w:rPr>
        <w:t>TERCERA</w:t>
      </w:r>
      <w:r>
        <w:rPr>
          <w:rFonts w:eastAsia="Times New Roman" w:cs="Times New Roman" w:ascii="Times New Roman" w:hAnsi="Times New Roman"/>
          <w:sz w:val="24"/>
          <w:szCs w:val="24"/>
          <w:lang w:eastAsia="ca-ES"/>
        </w:rPr>
        <w:t>.- Donada la present cessió de Drets i de comú acord, l’autor/a i Editorial Buendía, podran autoritzar sota llicència i a través d’una entitat de gestió, les següents disposicions:</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t xml:space="preserve"> </w:t>
      </w:r>
      <w:r>
        <w:rPr>
          <w:rFonts w:eastAsia="Times New Roman" w:cs="Times New Roman" w:ascii="Times New Roman" w:hAnsi="Times New Roman"/>
          <w:sz w:val="24"/>
          <w:szCs w:val="24"/>
          <w:lang w:eastAsia="ca-ES"/>
        </w:rPr>
        <w:br/>
      </w:r>
      <w:r>
        <w:rPr>
          <w:rFonts w:eastAsia="Times New Roman" w:cs="Times New Roman" w:ascii="Times New Roman" w:hAnsi="Times New Roman"/>
          <w:b/>
          <w:sz w:val="24"/>
          <w:szCs w:val="24"/>
          <w:lang w:eastAsia="ca-ES"/>
        </w:rPr>
        <w:t>a)</w:t>
      </w:r>
      <w:r>
        <w:rPr>
          <w:rFonts w:eastAsia="Times New Roman" w:cs="Times New Roman" w:ascii="Times New Roman" w:hAnsi="Times New Roman"/>
          <w:sz w:val="24"/>
          <w:szCs w:val="24"/>
          <w:lang w:eastAsia="ca-ES"/>
        </w:rPr>
        <w:t xml:space="preserve"> La reproducció parcial de la obra amb finalitats docents i d’investigació.</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br/>
      </w:r>
      <w:r>
        <w:rPr>
          <w:rFonts w:eastAsia="Times New Roman" w:cs="Times New Roman" w:ascii="Times New Roman" w:hAnsi="Times New Roman"/>
          <w:b/>
          <w:sz w:val="24"/>
          <w:szCs w:val="24"/>
          <w:lang w:eastAsia="ca-ES"/>
        </w:rPr>
        <w:t>b)</w:t>
      </w:r>
      <w:r>
        <w:rPr>
          <w:rFonts w:eastAsia="Times New Roman" w:cs="Times New Roman" w:ascii="Times New Roman" w:hAnsi="Times New Roman"/>
          <w:sz w:val="24"/>
          <w:szCs w:val="24"/>
          <w:lang w:eastAsia="ca-ES"/>
        </w:rPr>
        <w:t xml:space="preserve"> La inclusió total o parcial de l’obra en bases de dades, así com la seva  recuperació o comunicació pública.</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br/>
      </w:r>
      <w:r>
        <w:rPr>
          <w:rFonts w:eastAsia="Times New Roman" w:cs="Times New Roman" w:ascii="Times New Roman" w:hAnsi="Times New Roman"/>
          <w:b/>
          <w:sz w:val="24"/>
          <w:szCs w:val="24"/>
          <w:lang w:eastAsia="ca-ES"/>
        </w:rPr>
        <w:t>c)</w:t>
      </w:r>
      <w:r>
        <w:rPr>
          <w:rFonts w:eastAsia="Times New Roman" w:cs="Times New Roman" w:ascii="Times New Roman" w:hAnsi="Times New Roman"/>
          <w:sz w:val="24"/>
          <w:szCs w:val="24"/>
          <w:lang w:eastAsia="ca-ES"/>
        </w:rPr>
        <w:t xml:space="preserve"> El préstec públic de l’obra en Institucions bibliotecàries.</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br/>
        <w:t>Editorial  Buendía queda facultada per dur a terme resums i síntesis de l’obra destinats a la seva utilització en bases de dades i inscriure l’obra al Centre Espanyol de Drets Reprogràfics (CEDRO). Tanmateix totes dues parts queden sotmeses a allò que disposa l’Article 25 de la Llei de Propietat Intel·lectual respecte a la participació amb una remuneració compensatòria per a les reproduccions per a ús privat de l’obra, els Drets d’edició pels qual són cedits mitjançant la signatura d’aquest contracte i que es duguin a terme per aparells tècnics no tipogràfics.</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br/>
      </w:r>
      <w:r>
        <w:rPr>
          <w:rFonts w:eastAsia="Times New Roman" w:cs="Times New Roman" w:ascii="Times New Roman" w:hAnsi="Times New Roman"/>
          <w:b/>
          <w:sz w:val="24"/>
          <w:szCs w:val="24"/>
          <w:u w:val="single"/>
          <w:lang w:eastAsia="ca-ES"/>
        </w:rPr>
        <w:t>QUARTA</w:t>
      </w:r>
      <w:r>
        <w:rPr>
          <w:rFonts w:eastAsia="Times New Roman" w:cs="Times New Roman" w:ascii="Times New Roman" w:hAnsi="Times New Roman"/>
          <w:sz w:val="24"/>
          <w:szCs w:val="24"/>
          <w:lang w:eastAsia="ca-ES"/>
        </w:rPr>
        <w:t>.- L’Autor/a respon davant de l’Editorial Buendía sobre la propietat i l’originalitat de l’obra i per tant no podrà comprometre els Drets amb cap altre empresa. Així mateix, l’Autor/a es fa responsable de totes aquelles càrregues pecuniàries  que puguin existir en favors de terceres persones, ja sigui amb motiu d’accions, reclamacions o altres conflictes.</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br/>
      </w:r>
      <w:r>
        <w:rPr>
          <w:rFonts w:eastAsia="Times New Roman" w:cs="Times New Roman" w:ascii="Times New Roman" w:hAnsi="Times New Roman"/>
          <w:b/>
          <w:sz w:val="24"/>
          <w:szCs w:val="24"/>
          <w:u w:val="single"/>
          <w:lang w:eastAsia="ca-ES"/>
        </w:rPr>
        <w:t>CINQUENA</w:t>
      </w:r>
      <w:r>
        <w:rPr>
          <w:rFonts w:eastAsia="Times New Roman" w:cs="Times New Roman" w:ascii="Times New Roman" w:hAnsi="Times New Roman"/>
          <w:sz w:val="24"/>
          <w:szCs w:val="24"/>
          <w:lang w:eastAsia="ca-ES"/>
        </w:rPr>
        <w:t>.- En concepte de Drets d’autor/a, les quantitats rebudes seran les següents:</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br/>
      </w:r>
      <w:r>
        <w:rPr>
          <w:rFonts w:eastAsia="Times New Roman" w:cs="Times New Roman" w:ascii="Times New Roman" w:hAnsi="Times New Roman"/>
          <w:b/>
          <w:sz w:val="24"/>
          <w:szCs w:val="24"/>
          <w:lang w:eastAsia="ca-ES"/>
        </w:rPr>
        <w:t>1.</w:t>
      </w:r>
      <w:r>
        <w:rPr>
          <w:rFonts w:eastAsia="Times New Roman" w:cs="Times New Roman" w:ascii="Times New Roman" w:hAnsi="Times New Roman"/>
          <w:sz w:val="24"/>
          <w:szCs w:val="24"/>
          <w:lang w:eastAsia="ca-ES"/>
        </w:rPr>
        <w:t xml:space="preserve"> El cinc per cent (5%) del preu de venda al públic, segons catàleg y sense IVA.</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br/>
      </w:r>
      <w:r>
        <w:rPr>
          <w:rFonts w:eastAsia="Times New Roman" w:cs="Times New Roman" w:ascii="Times New Roman" w:hAnsi="Times New Roman"/>
          <w:b/>
          <w:sz w:val="24"/>
          <w:szCs w:val="24"/>
          <w:lang w:eastAsia="ca-ES"/>
        </w:rPr>
        <w:t>2.</w:t>
      </w:r>
      <w:r>
        <w:rPr>
          <w:rFonts w:eastAsia="Times New Roman" w:cs="Times New Roman" w:ascii="Times New Roman" w:hAnsi="Times New Roman"/>
          <w:sz w:val="24"/>
          <w:szCs w:val="24"/>
          <w:lang w:eastAsia="ca-ES"/>
        </w:rPr>
        <w:t xml:space="preserve"> El cinc per cent (5%) dels Drets d’autor/a que es puguin ocasionar amb motiu de la cessió dels Drets a qualsevol producció documental, teatral, televisiva o cinematogràfica.</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b/>
          <w:sz w:val="24"/>
          <w:szCs w:val="24"/>
          <w:lang w:eastAsia="ca-ES"/>
        </w:rPr>
        <w:t>3.</w:t>
      </w:r>
      <w:r>
        <w:rPr>
          <w:rFonts w:eastAsia="Times New Roman" w:cs="Times New Roman" w:ascii="Times New Roman" w:hAnsi="Times New Roman"/>
          <w:sz w:val="24"/>
          <w:szCs w:val="24"/>
          <w:lang w:eastAsia="ca-ES"/>
        </w:rPr>
        <w:t xml:space="preserve"> Editorial Buendía es compromet a publicar l’obra en un termini inferior a un any, una vegada efectuada la darrera correcció, entregant l’esborrany definitiu a l’Autor/a. En cas d’incompliment, l’Autor/a podrà donat per rescindit aquest contracte i tindrà llibertat per cedir-los a qui consideri oportú.</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br/>
      </w:r>
      <w:r>
        <w:rPr>
          <w:rFonts w:eastAsia="Times New Roman" w:cs="Times New Roman" w:ascii="Times New Roman" w:hAnsi="Times New Roman"/>
          <w:b/>
          <w:sz w:val="24"/>
          <w:szCs w:val="24"/>
          <w:u w:val="single"/>
          <w:lang w:eastAsia="ca-ES"/>
        </w:rPr>
        <w:t>SISENA</w:t>
      </w:r>
      <w:r>
        <w:rPr>
          <w:rFonts w:eastAsia="Times New Roman" w:cs="Times New Roman" w:ascii="Times New Roman" w:hAnsi="Times New Roman"/>
          <w:sz w:val="24"/>
          <w:szCs w:val="24"/>
          <w:lang w:eastAsia="ca-ES"/>
        </w:rPr>
        <w:t>.- L’Autor/a es compromet a lliurar la seva obra en format original, el qual serà retornat una vegada s’hagi editat l’obra. L’Editorial es compromet a fixar el nom o el pseudònim de l’Autor/a de forma destacada en tots els exemplars de l’obra i a incloure la menció internacional de reserva de propietat intel·lectual, a més del Copyright editorial, i a fer totes aquelles campanyes de publicitat que consideri adients.</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b/>
          <w:sz w:val="24"/>
          <w:szCs w:val="24"/>
          <w:u w:val="single"/>
          <w:lang w:eastAsia="ca-ES"/>
        </w:rPr>
        <w:t>SETENA</w:t>
      </w:r>
      <w:r>
        <w:rPr>
          <w:rFonts w:eastAsia="Times New Roman" w:cs="Times New Roman" w:ascii="Times New Roman" w:hAnsi="Times New Roman"/>
          <w:sz w:val="24"/>
          <w:szCs w:val="24"/>
          <w:lang w:eastAsia="ca-ES"/>
        </w:rPr>
        <w:t>.- Aquest contracte tindrà una vigència de deu anys (Art. 69.3 de la Llei de Propietat Intel·lectual).  Tanmateix i en atenció al redactat de l’Article 60.3 de la Llei de Propietat Intel·lectual, es podrà efectuar un màxim de quatre edicions anuals de cada modalitat, amb un màxim de 30 mil exemplars (30.000) i un mínim de mil exemplars (1000). Abans de la comercialització dels exemplars publicats de l’obra, Editorial Buendía enviarà a l’Autor/a una certificació del nombre d’exemplars que constaran en cada edició o reimpressió, acompanyades d’una declaració de l’impremta d’arts gràfiques on es va dur a terme la impressió i l’enquadernació, constant el número d’exemplars editats, així com les dates d’entrega.</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b/>
          <w:sz w:val="24"/>
          <w:szCs w:val="24"/>
          <w:u w:val="single"/>
          <w:lang w:eastAsia="ca-ES"/>
        </w:rPr>
        <w:br/>
        <w:t>VUITENA</w:t>
      </w:r>
      <w:r>
        <w:rPr>
          <w:rFonts w:eastAsia="Times New Roman" w:cs="Times New Roman" w:ascii="Times New Roman" w:hAnsi="Times New Roman"/>
          <w:sz w:val="24"/>
          <w:szCs w:val="24"/>
          <w:lang w:eastAsia="ca-ES"/>
        </w:rPr>
        <w:t xml:space="preserve">.- Aquesta clàusula recull el Reglament que determina les característiques d’edicions que preveu l’Article 72 de la Llei de Propietat Intel·lectual. </w:t>
      </w:r>
    </w:p>
    <w:p>
      <w:pPr>
        <w:pStyle w:val="Normal"/>
        <w:spacing w:lineRule="auto" w:line="360" w:before="0" w:after="0"/>
        <w:ind w:firstLine="708"/>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t>Editorial Buendía es compromet a presentar el primer mes de l’any un informe on consti les liquidacions de vendes de l’obra, amb el número total d’exemplars comercialitzats, els que es troben en dipòsit o que han estat retornats, així com la liquidació pertinent, la qual s’abonarà en un termini màxim de seixanta dies desprès de la notificació.</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b/>
          <w:sz w:val="24"/>
          <w:szCs w:val="24"/>
          <w:u w:val="single"/>
          <w:lang w:eastAsia="ca-ES"/>
        </w:rPr>
        <w:t>NOVENA</w:t>
      </w:r>
      <w:r>
        <w:rPr>
          <w:rFonts w:eastAsia="Times New Roman" w:cs="Times New Roman" w:ascii="Times New Roman" w:hAnsi="Times New Roman"/>
          <w:sz w:val="24"/>
          <w:szCs w:val="24"/>
          <w:lang w:eastAsia="ca-ES"/>
        </w:rPr>
        <w:t>.- L’Autor/a autoritza a Editorial Buendía per declarar i ingressar a Hisenda totes aquelles quantitats que per motius impositius s’hagin de satisfer, ja siguin derivades del rendiment de la propietat intel·lectual, com tots aquells impostos en que l’Editorial estigui obligada, per disposició legal, a pagar.</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b/>
          <w:sz w:val="24"/>
          <w:szCs w:val="24"/>
          <w:u w:val="single"/>
          <w:lang w:eastAsia="ca-ES"/>
        </w:rPr>
        <w:t>DESENA</w:t>
      </w:r>
      <w:r>
        <w:rPr>
          <w:rFonts w:eastAsia="Times New Roman" w:cs="Times New Roman" w:ascii="Times New Roman" w:hAnsi="Times New Roman"/>
          <w:sz w:val="24"/>
          <w:szCs w:val="24"/>
          <w:lang w:eastAsia="ca-ES"/>
        </w:rPr>
        <w:t>.- Una vegada s’hagi extingit aquest contracte, Editorial Buendía tindrà un Dret preferent davant l’Autor o els seus beneficiaris, per igualar la millor oferta per tal de signar un nou contracte. Així mateix, en cas de que Editorial Buendía esdevingui una persona física, podrà cedir a tercers els Drets que s’han adquirit mitjançant la signatura d’aquest contracte a una Societat Anònima (SA) o Societat Limitada (SL) que constitueixi i en la qual es subscrigui més d’un cinquanta per cent (50%) del capital social.</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b/>
          <w:sz w:val="24"/>
          <w:szCs w:val="24"/>
          <w:u w:val="single"/>
          <w:lang w:eastAsia="ca-ES"/>
        </w:rPr>
        <w:t>ONCENA</w:t>
      </w:r>
      <w:r>
        <w:rPr>
          <w:rFonts w:eastAsia="Times New Roman" w:cs="Times New Roman" w:ascii="Times New Roman" w:hAnsi="Times New Roman"/>
          <w:sz w:val="24"/>
          <w:szCs w:val="24"/>
          <w:lang w:eastAsia="ca-ES"/>
        </w:rPr>
        <w:t>.- L’Autor/a coneix i accepta la forma de distribució, foment i comercialització que durà a terme editorial Buendía i per la seva part es compromet a assistir a aquells actes de promoció que es duguin a terme en territori nacional. En cas de que es signi un contracte de traducció de l’obra en altres mercats, l’autor no estarà compel·lit a assistir. En relació a l’edició en un altre idioma, si es dóna el cas que aquest contracte l’ha gestionat l’autor, Editorial Buendía no tindrà dret a rebre cap guany.</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b/>
          <w:sz w:val="24"/>
          <w:szCs w:val="24"/>
          <w:u w:val="single"/>
          <w:lang w:eastAsia="ca-ES"/>
        </w:rPr>
        <w:t>DOTZENA</w:t>
      </w:r>
      <w:r>
        <w:rPr>
          <w:rFonts w:eastAsia="Times New Roman" w:cs="Times New Roman" w:ascii="Times New Roman" w:hAnsi="Times New Roman"/>
          <w:sz w:val="24"/>
          <w:szCs w:val="24"/>
          <w:lang w:eastAsia="ca-ES"/>
        </w:rPr>
        <w:t>.- Editorial Buendía, a efectes de promoció entregarà, de manera gratuïta, un total de cent exemplars per Edició a qui consideri oportú, quedant exempts de liquidació per a l’Autor/a. Tanmateix, Editorial Buendía es compromet a entregar-li a l’autor/a sense cap càrrec per ell/a, un total de vint-i-cinc (25) exemplars, els quals no podran ser comercialitzats i no reportaran Drets per l’Autor.</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b/>
          <w:sz w:val="24"/>
          <w:szCs w:val="24"/>
          <w:u w:val="single"/>
          <w:lang w:eastAsia="ca-ES"/>
        </w:rPr>
        <w:t>TRETZENA</w:t>
      </w:r>
      <w:r>
        <w:rPr>
          <w:rFonts w:eastAsia="Times New Roman" w:cs="Times New Roman" w:ascii="Times New Roman" w:hAnsi="Times New Roman"/>
          <w:sz w:val="24"/>
          <w:szCs w:val="24"/>
          <w:lang w:eastAsia="ca-ES"/>
        </w:rPr>
        <w:t>.- El present contracte d’edició es regirà i interpretarà d’acord amb la Llei  22/87 de 11 de novembre de Propietat Intel·lectual; ambdues Parts es sotmeten als Procediments d’Arbitratge i Equitat d’acord amb el que disposa la Llei i al control per part de la Jurisdicció Civil catalana, designant com a domicili a efectes de comunicació els que consten en els DNI i</w:t>
      </w:r>
      <w:bookmarkStart w:id="0" w:name="_GoBack"/>
      <w:bookmarkEnd w:id="0"/>
      <w:r>
        <w:rPr>
          <w:rFonts w:eastAsia="Times New Roman" w:cs="Times New Roman" w:ascii="Times New Roman" w:hAnsi="Times New Roman"/>
          <w:sz w:val="24"/>
          <w:szCs w:val="24"/>
          <w:lang w:eastAsia="ca-ES"/>
        </w:rPr>
        <w:t xml:space="preserve"> es signa en senyal de conformitat, amb dues còpies que quedaran en poder de cada part contractant.</w:t>
      </w:r>
    </w:p>
    <w:p>
      <w:pPr>
        <w:pStyle w:val="Normal"/>
        <w:spacing w:lineRule="auto" w:line="360" w:before="0" w:after="0"/>
        <w:ind w:hanging="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t xml:space="preserve"> </w:t>
      </w:r>
    </w:p>
    <w:p>
      <w:pPr>
        <w:pStyle w:val="Normal"/>
        <w:spacing w:lineRule="auto" w:line="360" w:before="0" w:after="0"/>
        <w:jc w:val="both"/>
        <w:rPr>
          <w:rFonts w:ascii="Times New Roman" w:hAnsi="Times New Roman" w:eastAsia="Times New Roman" w:cs="Times New Roman"/>
          <w:sz w:val="24"/>
          <w:szCs w:val="24"/>
          <w:lang w:eastAsia="ca-ES"/>
        </w:rPr>
      </w:pPr>
      <w:r>
        <w:rPr>
          <w:rFonts w:eastAsia="Times New Roman" w:cs="Times New Roman" w:ascii="Times New Roman" w:hAnsi="Times New Roman"/>
          <w:sz w:val="24"/>
          <w:szCs w:val="24"/>
          <w:lang w:eastAsia="ca-ES"/>
        </w:rPr>
        <w:t xml:space="preserve">    </w:t>
      </w:r>
      <w:r>
        <w:rPr>
          <w:rFonts w:eastAsia="Times New Roman" w:cs="Times New Roman" w:ascii="Times New Roman" w:hAnsi="Times New Roman"/>
          <w:sz w:val="24"/>
          <w:szCs w:val="24"/>
          <w:lang w:eastAsia="ca-ES"/>
        </w:rPr>
        <w:t>Signatura Representant Editorial</w:t>
        <w:tab/>
        <w:t xml:space="preserve">    </w:t>
        <w:tab/>
        <w:tab/>
        <w:t xml:space="preserve">                             Signatura Autor/a</w:t>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before="0" w:after="160"/>
        <w:jc w:val="both"/>
        <w:rPr/>
      </w:pPr>
      <w:r>
        <w:rPr>
          <w:rFonts w:eastAsia="Times New Roman" w:cs="Times New Roman" w:ascii="Times New Roman" w:hAnsi="Times New Roman"/>
          <w:sz w:val="24"/>
          <w:szCs w:val="24"/>
          <w:lang w:eastAsia="ca-ES"/>
        </w:rPr>
        <w:t xml:space="preserve">                                                                                                             </w:t>
      </w:r>
      <w:r>
        <w:rPr>
          <w:rFonts w:eastAsia="Times New Roman" w:cs="Times New Roman" w:ascii="Times New Roman" w:hAnsi="Times New Roman"/>
          <w:sz w:val="24"/>
          <w:szCs w:val="24"/>
          <w:lang w:eastAsia="ca-ES"/>
        </w:rPr>
        <w:t>Barcelona, a --/--/--.</w:t>
      </w:r>
    </w:p>
    <w:sectPr>
      <w:footerReference w:type="default" r:id="rId2"/>
      <w:type w:val="nextPage"/>
      <w:pgSz w:w="11906" w:h="16838"/>
      <w:pgMar w:left="1701" w:right="1701" w:header="0"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Calibri Ligh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rPr/>
    </w:pPr>
    <w:r>
      <w:rPr/>
      <mc:AlternateContent>
        <mc:Choice Requires="wps">
          <w:drawing>
            <wp:anchor behindDoc="1" distT="0" distB="0" distL="0" distR="0" simplePos="0" locked="0" layoutInCell="1" allowOverlap="1" relativeHeight="5">
              <wp:simplePos x="0" y="0"/>
              <wp:positionH relativeFrom="page">
                <wp:align>right</wp:align>
              </wp:positionH>
              <wp:positionV relativeFrom="page">
                <wp:align>bottom</wp:align>
              </wp:positionV>
              <wp:extent cx="2126615" cy="2055495"/>
              <wp:effectExtent l="7620" t="9525" r="0" b="2540"/>
              <wp:wrapNone/>
              <wp:docPr id="1" name="Triángulo isósceles 1"/>
              <a:graphic xmlns:a="http://schemas.openxmlformats.org/drawingml/2006/main">
                <a:graphicData uri="http://schemas.microsoft.com/office/word/2010/wordprocessingShape">
                  <wps:wsp>
                    <wps:cNvSpPr/>
                    <wps:spPr>
                      <a:xfrm>
                        <a:off x="0" y="0"/>
                        <a:ext cx="2126160" cy="2054880"/>
                      </a:xfrm>
                      <a:prstGeom prst="triangle">
                        <a:avLst>
                          <a:gd name="adj" fmla="val 100000"/>
                        </a:avLst>
                      </a:prstGeom>
                      <a:solidFill>
                        <a:srgbClr val="d2eaf1"/>
                      </a:solidFill>
                      <a:ln>
                        <a:noFill/>
                      </a:ln>
                    </wps:spPr>
                    <wps:style>
                      <a:lnRef idx="0"/>
                      <a:fillRef idx="0"/>
                      <a:effectRef idx="0"/>
                      <a:fontRef idx="minor"/>
                    </wps:style>
                    <wps:txbx>
                      <w:txbxContent>
                        <w:sdt>
                          <w:sdtPr>
                            <w:docPartObj>
                              <w:docPartGallery w:val="Page Numbers (Bottom of Page)"/>
                              <w:docPartUnique w:val="true"/>
                            </w:docPartObj>
                            <w:id w:val="1360125013"/>
                          </w:sdtPr>
                          <w:sdtContent>
                            <w:p>
                              <w:pPr>
                                <w:pStyle w:val="Contingutdelmarc"/>
                                <w:spacing w:before="0" w:after="160"/>
                                <w:jc w:val="center"/>
                                <w:rPr>
                                  <w:szCs w:val="72"/>
                                </w:rPr>
                              </w:pPr>
                              <w:r>
                                <w:rPr>
                                  <w:rFonts w:eastAsia="" w:cs="" w:ascii="Calibri Light" w:hAnsi="Calibri Light" w:asciiTheme="majorHAnsi" w:cstheme="majorBidi" w:eastAsiaTheme="majorEastAsia" w:hAnsiTheme="majorHAnsi"/>
                                  <w:color w:val="FFFFFF" w:themeColor="background1"/>
                                  <w:sz w:val="72"/>
                                  <w:szCs w:val="72"/>
                                </w:rPr>
                                <w:fldChar w:fldCharType="begin"/>
                              </w:r>
                              <w:r>
                                <w:rPr>
                                  <w:sz w:val="72"/>
                                  <w:szCs w:val="72"/>
                                  <w:rFonts w:eastAsia="" w:cs="" w:ascii="Calibri Light" w:hAnsi="Calibri Light"/>
                                  <w:color w:val="FFFFFF"/>
                                </w:rPr>
                                <w:instrText> PAGE </w:instrText>
                              </w:r>
                              <w:r>
                                <w:rPr>
                                  <w:sz w:val="72"/>
                                  <w:szCs w:val="72"/>
                                  <w:rFonts w:eastAsia="" w:cs="" w:ascii="Calibri Light" w:hAnsi="Calibri Light"/>
                                  <w:color w:val="FFFFFF"/>
                                </w:rPr>
                                <w:fldChar w:fldCharType="separate"/>
                              </w:r>
                              <w:r>
                                <w:rPr>
                                  <w:sz w:val="72"/>
                                  <w:szCs w:val="72"/>
                                  <w:rFonts w:eastAsia="" w:cs="" w:ascii="Calibri Light" w:hAnsi="Calibri Light"/>
                                  <w:color w:val="FFFFFF"/>
                                </w:rPr>
                                <w:t>4</w:t>
                              </w:r>
                              <w:r>
                                <w:rPr>
                                  <w:sz w:val="72"/>
                                  <w:szCs w:val="72"/>
                                  <w:rFonts w:eastAsia="" w:cs="" w:ascii="Calibri Light" w:hAnsi="Calibri Light"/>
                                  <w:color w:val="FFFFFF"/>
                                </w:rPr>
                                <w:fldChar w:fldCharType="end"/>
                              </w:r>
                            </w:p>
                          </w:sdtContent>
                        </w:sdt>
                      </w:txbxContent>
                    </wps:txbx>
                    <wps:bodyPr>
                      <a:noAutofit/>
                    </wps:bodyPr>
                  </wps:wsp>
                </a:graphicData>
              </a:graphic>
            </wp:anchor>
          </w:drawing>
        </mc:Choice>
        <mc:Fallback>
          <w:pict>
            <v:shapetype id="shapetype_5" coordsize="21600,21600" o:spt="5" adj="10800" path="m,21600l@0,l21600,21600xe">
              <v:stroke joinstyle="miter"/>
              <v:formulas>
                <v:f eqn="val #0"/>
                <v:f eqn="prod 1 @0 2"/>
                <v:f eqn="sum @1 10800 0"/>
              </v:formulas>
              <v:path gradientshapeok="t" o:connecttype="rect" textboxrect="@1,10800,@2,21600"/>
              <v:handles>
                <v:h position="@0,0"/>
              </v:handles>
            </v:shapetype>
            <v:shape id="shape_0" ID="Triángulo isósceles 1" fillcolor="#d2eaf1" stroked="f" style="position:absolute;margin-left:427.85pt;margin-top:679.85pt;width:167.35pt;height:161.75pt;mso-position-horizontal:right;mso-position-horizontal-relative:page;mso-position-vertical:bottom;mso-position-vertical-relative:page" type="shapetype_5">
              <w10:wrap type="square"/>
              <v:fill o:detectmouseclick="t" type="solid" color2="#2d150e"/>
              <v:stroke color="#3465a4" joinstyle="round" endcap="flat"/>
              <v:textbox>
                <w:txbxContent>
                  <w:sdt>
                    <w:sdtPr>
                      <w:docPartObj>
                        <w:docPartGallery w:val="Page Numbers (Bottom of Page)"/>
                        <w:docPartUnique w:val="true"/>
                      </w:docPartObj>
                      <w:id w:val="389794330"/>
                    </w:sdtPr>
                    <w:sdtContent>
                      <w:p>
                        <w:pPr>
                          <w:pStyle w:val="Contingutdelmarc"/>
                          <w:spacing w:before="0" w:after="160"/>
                          <w:jc w:val="center"/>
                          <w:rPr>
                            <w:szCs w:val="72"/>
                          </w:rPr>
                        </w:pPr>
                        <w:r>
                          <w:rPr>
                            <w:rFonts w:eastAsia="" w:cs="" w:ascii="Calibri Light" w:hAnsi="Calibri Light" w:asciiTheme="majorHAnsi" w:cstheme="majorBidi" w:eastAsiaTheme="majorEastAsia" w:hAnsiTheme="majorHAnsi"/>
                            <w:color w:val="FFFFFF" w:themeColor="background1"/>
                            <w:sz w:val="72"/>
                            <w:szCs w:val="72"/>
                          </w:rPr>
                          <w:fldChar w:fldCharType="begin"/>
                        </w:r>
                        <w:r>
                          <w:rPr>
                            <w:sz w:val="72"/>
                            <w:szCs w:val="72"/>
                            <w:rFonts w:eastAsia="" w:cs="" w:ascii="Calibri Light" w:hAnsi="Calibri Light"/>
                            <w:color w:val="FFFFFF"/>
                          </w:rPr>
                          <w:instrText> PAGE </w:instrText>
                        </w:r>
                        <w:r>
                          <w:rPr>
                            <w:sz w:val="72"/>
                            <w:szCs w:val="72"/>
                            <w:rFonts w:eastAsia="" w:cs="" w:ascii="Calibri Light" w:hAnsi="Calibri Light"/>
                            <w:color w:val="FFFFFF"/>
                          </w:rPr>
                          <w:fldChar w:fldCharType="separate"/>
                        </w:r>
                        <w:r>
                          <w:rPr>
                            <w:sz w:val="72"/>
                            <w:szCs w:val="72"/>
                            <w:rFonts w:eastAsia="" w:cs="" w:ascii="Calibri Light" w:hAnsi="Calibri Light"/>
                            <w:color w:val="FFFFFF"/>
                          </w:rPr>
                          <w:t>4</w:t>
                        </w:r>
                        <w:r>
                          <w:rPr>
                            <w:sz w:val="72"/>
                            <w:szCs w:val="72"/>
                            <w:rFonts w:eastAsia="" w:cs="" w:ascii="Calibri Light" w:hAnsi="Calibri Light"/>
                            <w:color w:val="FFFFFF"/>
                          </w:rPr>
                          <w:fldChar w:fldCharType="end"/>
                        </w:r>
                      </w:p>
                    </w:sdtContent>
                  </w:sdt>
                </w:txbxContent>
              </v:textbox>
            </v:shape>
          </w:pict>
        </mc:Fallback>
      </mc:AlternateContent>
    </w:r>
  </w:p>
</w:ftr>
</file>

<file path=word/settings.xml><?xml version="1.0" encoding="utf-8"?>
<w:settings xmlns:w="http://schemas.openxmlformats.org/wordprocessingml/2006/main">
  <w:zoom w:percent="98"/>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a-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a-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a-ES" w:eastAsia="en-US" w:bidi="ar-SA"/>
    </w:rPr>
  </w:style>
  <w:style w:type="character" w:styleId="DefaultParagraphFont" w:default="1">
    <w:name w:val="Default Paragraph Font"/>
    <w:uiPriority w:val="1"/>
    <w:semiHidden/>
    <w:unhideWhenUsed/>
    <w:qFormat/>
    <w:rPr/>
  </w:style>
  <w:style w:type="character" w:styleId="EnlladInternet">
    <w:name w:val="Enllaç d'Internet"/>
    <w:basedOn w:val="DefaultParagraphFont"/>
    <w:uiPriority w:val="99"/>
    <w:semiHidden/>
    <w:unhideWhenUsed/>
    <w:rsid w:val="00446fd8"/>
    <w:rPr>
      <w:color w:val="0000FF"/>
      <w:u w:val="single"/>
    </w:rPr>
  </w:style>
  <w:style w:type="character" w:styleId="Strong">
    <w:name w:val="Strong"/>
    <w:basedOn w:val="DefaultParagraphFont"/>
    <w:uiPriority w:val="22"/>
    <w:qFormat/>
    <w:rsid w:val="0008528d"/>
    <w:rPr>
      <w:b/>
      <w:bCs/>
    </w:rPr>
  </w:style>
  <w:style w:type="character" w:styleId="EncabezadoCar" w:customStyle="1">
    <w:name w:val="Encabezado Car"/>
    <w:basedOn w:val="DefaultParagraphFont"/>
    <w:link w:val="Encabezado"/>
    <w:uiPriority w:val="99"/>
    <w:qFormat/>
    <w:rsid w:val="00767292"/>
    <w:rPr/>
  </w:style>
  <w:style w:type="character" w:styleId="PiedepginaCar" w:customStyle="1">
    <w:name w:val="Pie de página Car"/>
    <w:basedOn w:val="DefaultParagraphFont"/>
    <w:link w:val="Piedepgina"/>
    <w:uiPriority w:val="99"/>
    <w:qFormat/>
    <w:rsid w:val="00767292"/>
    <w:rPr/>
  </w:style>
  <w:style w:type="paragraph" w:styleId="Encapalament">
    <w:name w:val="Encapçalament"/>
    <w:basedOn w:val="Normal"/>
    <w:next w:val="Cosdeltext"/>
    <w:qFormat/>
    <w:pPr>
      <w:keepNext w:val="true"/>
      <w:spacing w:before="240" w:after="120"/>
    </w:pPr>
    <w:rPr>
      <w:rFonts w:ascii="Liberation Sans" w:hAnsi="Liberation Sans" w:eastAsia="Noto Sans CJK SC" w:cs="Lohit Devanagari"/>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Lohit Devanagari"/>
    </w:rPr>
  </w:style>
  <w:style w:type="paragraph" w:styleId="Llegenda">
    <w:name w:val="Caption"/>
    <w:basedOn w:val="Normal"/>
    <w:qFormat/>
    <w:pPr>
      <w:suppressLineNumbers/>
      <w:spacing w:before="120" w:after="120"/>
    </w:pPr>
    <w:rPr>
      <w:rFonts w:cs="Lohit Devanagari"/>
      <w:i/>
      <w:iCs/>
      <w:sz w:val="24"/>
      <w:szCs w:val="24"/>
    </w:rPr>
  </w:style>
  <w:style w:type="paragraph" w:styleId="Ndex">
    <w:name w:val="Índex"/>
    <w:basedOn w:val="Normal"/>
    <w:qFormat/>
    <w:pPr>
      <w:suppressLineNumbers/>
    </w:pPr>
    <w:rPr>
      <w:rFonts w:cs="Lohit Devanagari"/>
    </w:rPr>
  </w:style>
  <w:style w:type="paragraph" w:styleId="NormalWeb">
    <w:name w:val="Normal (Web)"/>
    <w:basedOn w:val="Normal"/>
    <w:uiPriority w:val="99"/>
    <w:semiHidden/>
    <w:unhideWhenUsed/>
    <w:qFormat/>
    <w:rsid w:val="00446fd8"/>
    <w:pPr>
      <w:spacing w:lineRule="auto" w:line="240" w:beforeAutospacing="1" w:afterAutospacing="1"/>
    </w:pPr>
    <w:rPr>
      <w:rFonts w:ascii="Times New Roman" w:hAnsi="Times New Roman" w:eastAsia="Times New Roman" w:cs="Times New Roman"/>
      <w:sz w:val="24"/>
      <w:szCs w:val="24"/>
      <w:lang w:eastAsia="ca-ES"/>
    </w:rPr>
  </w:style>
  <w:style w:type="paragraph" w:styleId="Capaleraipeu">
    <w:name w:val="Capçalera i peu"/>
    <w:basedOn w:val="Normal"/>
    <w:qFormat/>
    <w:pPr/>
    <w:rPr/>
  </w:style>
  <w:style w:type="paragraph" w:styleId="Capalera">
    <w:name w:val="Header"/>
    <w:basedOn w:val="Normal"/>
    <w:link w:val="EncabezadoCar"/>
    <w:uiPriority w:val="99"/>
    <w:unhideWhenUsed/>
    <w:rsid w:val="00767292"/>
    <w:pPr>
      <w:tabs>
        <w:tab w:val="clear" w:pos="708"/>
        <w:tab w:val="center" w:pos="4252" w:leader="none"/>
        <w:tab w:val="right" w:pos="8504" w:leader="none"/>
      </w:tabs>
      <w:spacing w:lineRule="auto" w:line="240" w:before="0" w:after="0"/>
    </w:pPr>
    <w:rPr/>
  </w:style>
  <w:style w:type="paragraph" w:styleId="Peudepgina">
    <w:name w:val="Footer"/>
    <w:basedOn w:val="Normal"/>
    <w:link w:val="PiedepginaCar"/>
    <w:uiPriority w:val="99"/>
    <w:unhideWhenUsed/>
    <w:rsid w:val="00767292"/>
    <w:pPr>
      <w:tabs>
        <w:tab w:val="clear" w:pos="708"/>
        <w:tab w:val="center" w:pos="4252" w:leader="none"/>
        <w:tab w:val="right" w:pos="8504" w:leader="none"/>
      </w:tabs>
      <w:spacing w:lineRule="auto" w:line="240" w:before="0" w:after="0"/>
    </w:pPr>
    <w:rPr/>
  </w:style>
  <w:style w:type="paragraph" w:styleId="Contingutdelmarc">
    <w:name w:val="Contingut del marc"/>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Application>LibreOffice/6.4.7.2$Linux_X86_64 LibreOffice_project/40$Build-2</Application>
  <Pages>4</Pages>
  <Words>1073</Words>
  <Characters>5726</Characters>
  <CharactersWithSpaces>6984</CharactersWithSpaces>
  <Paragraphs>33</Paragraphs>
  <Company>T-Systems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2021-11-09T07:55:00Z</dcterms:created>
  <dc:creator>GTMCRM0001</dc:creator>
  <dc:description/>
  <dc:language>ca-ES</dc:language>
  <cp:lastModifiedBy/>
  <dcterms:modified xsi:type="dcterms:W3CDTF">2021-11-18T09:58:57Z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T-Systems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